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B90" w:rsidRPr="00721B90" w:rsidRDefault="00721B90" w:rsidP="00721B90">
      <w:pPr>
        <w:spacing w:before="120" w:after="120" w:line="240" w:lineRule="auto"/>
        <w:jc w:val="both"/>
        <w:rPr>
          <w:rFonts w:cstheme="minorHAnsi"/>
          <w:b/>
          <w:sz w:val="22"/>
          <w:szCs w:val="22"/>
          <w:lang w:val="sr-Latn-BA"/>
        </w:rPr>
      </w:pPr>
      <w:r w:rsidRPr="00721B90">
        <w:rPr>
          <w:rFonts w:cstheme="minorHAnsi"/>
          <w:b/>
          <w:sz w:val="22"/>
          <w:szCs w:val="22"/>
          <w:lang w:val="sr-Latn-BA"/>
        </w:rPr>
        <w:t>Checklist za procjenu dvostruke materijalnosti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Ova kratka checklist pomaže malim i srednjim preduzećima da na jednostavan način identifikuju materijalne ESG teme, bez složenih analiza i dodatnih troškova.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18A4">
        <w:rPr>
          <w:rFonts w:cstheme="minorHAnsi"/>
          <w:b/>
          <w:bCs/>
          <w:sz w:val="22"/>
          <w:szCs w:val="22"/>
          <w:lang w:val="sr-Latn-BA"/>
        </w:rPr>
        <w:t>Korak 1: Identifikacija relevantnih ESG tema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Označite teme koje su povezane sa vašim poslovanjem: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Emisije GHG i potrošnja energije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Upravljanje otpadom i resursima</w:t>
      </w:r>
      <w:bookmarkStart w:id="0" w:name="_GoBack"/>
      <w:bookmarkEnd w:id="0"/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Zdravlje i sigurnost zaposlenih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Radnička prava i uslovi rada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Odnosi sa zajednicom i potrošačima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Poslovna etika i usklađenost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Upravljanje rizicima i transparentnost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18A4">
        <w:rPr>
          <w:rFonts w:cstheme="minorHAnsi"/>
          <w:b/>
          <w:bCs/>
          <w:sz w:val="22"/>
          <w:szCs w:val="22"/>
          <w:lang w:val="sr-Latn-BA"/>
        </w:rPr>
        <w:t>Korak 2: Procjena uticajne materijalnosti (Impact)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Za svaku odabranu temu odgovorite na sljedeća pitanja: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Da li naša aktivnost ima direktan ili indirektan uticaj na životnu sredinu ili društvo?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Da li taj uticaj može biti negativan ili pozitivan?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Koliki je obim i ozbiljnost tog uticaja?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Da li se uticaj odnosi na zaposlene, zajednicu, kupce ili širu okolinu?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 xml:space="preserve">* Ako su odgovori pretežno </w:t>
      </w:r>
      <w:r w:rsidRPr="00F018A4">
        <w:rPr>
          <w:rFonts w:cstheme="minorHAnsi"/>
          <w:b/>
          <w:bCs/>
          <w:sz w:val="22"/>
          <w:szCs w:val="22"/>
          <w:lang w:val="sr-Latn-BA"/>
        </w:rPr>
        <w:t>DA</w:t>
      </w:r>
      <w:r w:rsidRPr="00F018A4">
        <w:rPr>
          <w:rFonts w:cstheme="minorHAnsi"/>
          <w:sz w:val="22"/>
          <w:szCs w:val="22"/>
          <w:lang w:val="sr-Latn-BA"/>
        </w:rPr>
        <w:t>, tema je uticajno materijalna.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18A4">
        <w:rPr>
          <w:rFonts w:cstheme="minorHAnsi"/>
          <w:b/>
          <w:bCs/>
          <w:sz w:val="22"/>
          <w:szCs w:val="22"/>
          <w:lang w:val="sr-Latn-BA"/>
        </w:rPr>
        <w:t>Korak 3: Procjena finansijske materijalnosti (Financial)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Procijenite potencijalni uticaj ESG teme na poslovanje: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Može li ova tema uticati na troškove ili prihode?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Da li utiče na poslovne partnere, kupce ili finansiranje?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Postoji li regulatorni rizik ili tržišni pritisak?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Može li tema predstavljati poslovnu priliku (efikasnost, konkurentnost)?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 xml:space="preserve">Ako su odgovori pretežno </w:t>
      </w:r>
      <w:r w:rsidRPr="00F018A4">
        <w:rPr>
          <w:rFonts w:cstheme="minorHAnsi"/>
          <w:b/>
          <w:bCs/>
          <w:sz w:val="22"/>
          <w:szCs w:val="22"/>
          <w:lang w:val="sr-Latn-BA"/>
        </w:rPr>
        <w:t>DA</w:t>
      </w:r>
      <w:r w:rsidRPr="00F018A4">
        <w:rPr>
          <w:rFonts w:cstheme="minorHAnsi"/>
          <w:sz w:val="22"/>
          <w:szCs w:val="22"/>
          <w:lang w:val="sr-Latn-BA"/>
        </w:rPr>
        <w:t>, tema je finansijski materijalna.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18A4">
        <w:rPr>
          <w:rFonts w:cstheme="minorHAnsi"/>
          <w:b/>
          <w:bCs/>
          <w:sz w:val="22"/>
          <w:szCs w:val="22"/>
          <w:lang w:val="sr-Latn-BA"/>
        </w:rPr>
        <w:t>Korak 4: Zaključak o dvostrukoj materijalnosti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cstheme="minorHAnsi"/>
          <w:sz w:val="22"/>
          <w:szCs w:val="22"/>
          <w:lang w:val="sr-Latn-BA"/>
        </w:rPr>
        <w:t>Tema se smatra dvostruko materijalnom ako: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ima značajan uticaj na društvo/životnu sredinu i/ili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ima značajan uticaj na poslovanje i finansijske rezultate.</w:t>
      </w:r>
    </w:p>
    <w:p w:rsidR="00721B90" w:rsidRPr="00F018A4" w:rsidRDefault="00721B90" w:rsidP="00721B90">
      <w:pPr>
        <w:spacing w:before="120" w:after="120" w:line="240" w:lineRule="auto"/>
        <w:jc w:val="both"/>
        <w:rPr>
          <w:rFonts w:cstheme="minorHAnsi"/>
          <w:b/>
          <w:bCs/>
          <w:sz w:val="22"/>
          <w:szCs w:val="22"/>
          <w:lang w:val="sr-Latn-BA"/>
        </w:rPr>
      </w:pPr>
      <w:r w:rsidRPr="00F018A4">
        <w:rPr>
          <w:rFonts w:cstheme="minorHAnsi"/>
          <w:b/>
          <w:bCs/>
          <w:sz w:val="22"/>
          <w:szCs w:val="22"/>
          <w:lang w:val="sr-Latn-BA"/>
        </w:rPr>
        <w:t>Korak 5: Dokumentovanje rezultata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Zabilježite razloge zašto je tema ocijenjena kao materijalna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lastRenderedPageBreak/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Navedite izvore procjene (interno znanje, iskustvo, zahtjevi kupaca)</w:t>
      </w:r>
    </w:p>
    <w:p w:rsidR="00721B90" w:rsidRPr="00F018A4" w:rsidRDefault="00721B90" w:rsidP="00721B90">
      <w:pPr>
        <w:spacing w:before="120" w:after="120" w:line="240" w:lineRule="auto"/>
        <w:ind w:left="720"/>
        <w:jc w:val="both"/>
        <w:rPr>
          <w:rFonts w:cstheme="minorHAnsi"/>
          <w:sz w:val="22"/>
          <w:szCs w:val="22"/>
          <w:lang w:val="sr-Latn-BA"/>
        </w:rPr>
      </w:pPr>
      <w:r w:rsidRPr="00F018A4">
        <w:rPr>
          <w:rFonts w:ascii="Segoe UI Symbol" w:hAnsi="Segoe UI Symbol" w:cs="Segoe UI Symbol"/>
          <w:sz w:val="22"/>
          <w:szCs w:val="22"/>
          <w:lang w:val="sr-Latn-BA"/>
        </w:rPr>
        <w:t>☐</w:t>
      </w:r>
      <w:r w:rsidRPr="00F018A4">
        <w:rPr>
          <w:rFonts w:cstheme="minorHAnsi"/>
          <w:sz w:val="22"/>
          <w:szCs w:val="22"/>
          <w:lang w:val="sr-Latn-BA"/>
        </w:rPr>
        <w:t xml:space="preserve"> Pripremite osnovu za ESG izvještaj</w:t>
      </w:r>
    </w:p>
    <w:p w:rsidR="004B569D" w:rsidRDefault="004B569D"/>
    <w:sectPr w:rsidR="004B5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90"/>
    <w:rsid w:val="004B569D"/>
    <w:rsid w:val="00721B90"/>
    <w:rsid w:val="0079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8FBEB"/>
  <w15:chartTrackingRefBased/>
  <w15:docId w15:val="{2396F014-FD56-4F52-8F60-538F8EC6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B9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Batar</dc:creator>
  <cp:keywords/>
  <dc:description/>
  <cp:lastModifiedBy>Tomislav Batar</cp:lastModifiedBy>
  <cp:revision>2</cp:revision>
  <dcterms:created xsi:type="dcterms:W3CDTF">2026-06-30T09:36:00Z</dcterms:created>
  <dcterms:modified xsi:type="dcterms:W3CDTF">2026-06-30T09:37:00Z</dcterms:modified>
</cp:coreProperties>
</file>